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E810B8">
        <w:rPr>
          <w:rFonts w:eastAsia="Calibri"/>
          <w:bCs/>
          <w:szCs w:val="24"/>
          <w:lang w:val="en-US" w:eastAsia="en-US"/>
        </w:rPr>
        <w:t>1</w:t>
      </w:r>
      <w:r w:rsidR="00FD1F86">
        <w:rPr>
          <w:rFonts w:eastAsia="Calibri"/>
          <w:bCs/>
          <w:szCs w:val="24"/>
          <w:lang w:val="en-US" w:eastAsia="en-US"/>
        </w:rPr>
        <w:t>5</w:t>
      </w:r>
      <w:r w:rsidR="00B47C26">
        <w:rPr>
          <w:rFonts w:eastAsia="Calibri"/>
          <w:bCs/>
          <w:szCs w:val="24"/>
          <w:lang w:val="en-US" w:eastAsia="en-US"/>
        </w:rPr>
        <w:t>8</w:t>
      </w:r>
      <w:r w:rsidR="00D6549A" w:rsidRPr="00396778">
        <w:rPr>
          <w:rFonts w:eastAsia="Calibri"/>
          <w:bCs/>
          <w:szCs w:val="24"/>
          <w:lang w:eastAsia="en-US"/>
        </w:rPr>
        <w:t xml:space="preserve"> от </w:t>
      </w:r>
      <w:r w:rsidR="00B47C26">
        <w:rPr>
          <w:rFonts w:eastAsia="Calibri"/>
          <w:bCs/>
          <w:szCs w:val="24"/>
          <w:lang w:val="en-US" w:eastAsia="en-US"/>
        </w:rPr>
        <w:t>26</w:t>
      </w:r>
      <w:bookmarkStart w:id="0" w:name="_GoBack"/>
      <w:bookmarkEnd w:id="0"/>
      <w:r w:rsidR="00D6549A" w:rsidRPr="00396778">
        <w:rPr>
          <w:rFonts w:eastAsia="Calibri"/>
          <w:bCs/>
          <w:szCs w:val="24"/>
          <w:lang w:eastAsia="en-US"/>
        </w:rPr>
        <w:t>.0</w:t>
      </w:r>
      <w:r w:rsidR="00FD1F86">
        <w:rPr>
          <w:rFonts w:eastAsia="Calibri"/>
          <w:bCs/>
          <w:szCs w:val="24"/>
          <w:lang w:val="en-US" w:eastAsia="en-US"/>
        </w:rPr>
        <w:t>3</w:t>
      </w:r>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1587"/>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47C26"/>
    <w:rsid w:val="00B50ADF"/>
    <w:rsid w:val="00B5463B"/>
    <w:rsid w:val="00B5732A"/>
    <w:rsid w:val="00B80031"/>
    <w:rsid w:val="00B857F6"/>
    <w:rsid w:val="00BA7FD4"/>
    <w:rsid w:val="00BC13F6"/>
    <w:rsid w:val="00C1376E"/>
    <w:rsid w:val="00C23F17"/>
    <w:rsid w:val="00C33092"/>
    <w:rsid w:val="00C40324"/>
    <w:rsid w:val="00C43343"/>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10B8"/>
    <w:rsid w:val="00E862D3"/>
    <w:rsid w:val="00E95F70"/>
    <w:rsid w:val="00EC0D33"/>
    <w:rsid w:val="00EC1987"/>
    <w:rsid w:val="00EC33A9"/>
    <w:rsid w:val="00EE0E37"/>
    <w:rsid w:val="00F07898"/>
    <w:rsid w:val="00F47577"/>
    <w:rsid w:val="00F80AC9"/>
    <w:rsid w:val="00FD1F86"/>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5F82-2772-4DED-9F7E-740F5FA8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23</cp:revision>
  <cp:lastPrinted>2019-09-24T09:42:00Z</cp:lastPrinted>
  <dcterms:created xsi:type="dcterms:W3CDTF">2020-07-29T07:49:00Z</dcterms:created>
  <dcterms:modified xsi:type="dcterms:W3CDTF">2021-03-31T06:44:00Z</dcterms:modified>
</cp:coreProperties>
</file>